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20D4" w14:textId="514C36D9" w:rsidR="00185CBD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w:drawing>
          <wp:inline distT="0" distB="0" distL="0" distR="0" wp14:anchorId="529F94D5" wp14:editId="0F185860">
            <wp:extent cx="1188720" cy="480060"/>
            <wp:effectExtent l="0" t="0" r="0" b="0"/>
            <wp:docPr id="1" name="Slika 1" descr="s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CBD" w:rsidRPr="00085B96">
        <w:rPr>
          <w:rFonts w:ascii="Times New Roman" w:hAnsi="Times New Roman" w:cs="Times New Roman"/>
          <w:sz w:val="24"/>
          <w:szCs w:val="24"/>
        </w:rPr>
        <w:t>Srednja poklicna in tehniška šola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5CBD" w:rsidRPr="00085B96">
        <w:rPr>
          <w:rFonts w:ascii="Times New Roman" w:hAnsi="Times New Roman" w:cs="Times New Roman"/>
          <w:sz w:val="24"/>
          <w:szCs w:val="24"/>
        </w:rPr>
        <w:t>Šolsko naselje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CBD" w:rsidRPr="00085B96">
        <w:rPr>
          <w:rFonts w:ascii="Times New Roman" w:hAnsi="Times New Roman" w:cs="Times New Roman"/>
          <w:sz w:val="24"/>
          <w:szCs w:val="24"/>
        </w:rPr>
        <w:t>9000 Murska Sobota</w:t>
      </w:r>
    </w:p>
    <w:p w14:paraId="73E105F6" w14:textId="77777777" w:rsidR="00984FD0" w:rsidRPr="00085B96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A76F87" w14:textId="57049DA6" w:rsidR="00365404" w:rsidRPr="00F95566" w:rsidRDefault="00365404" w:rsidP="00365404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PREDMET: RAČUNALNIŠTVO V STROKI</w:t>
      </w:r>
    </w:p>
    <w:p w14:paraId="4A6E8DCC" w14:textId="77777777" w:rsidR="00365404" w:rsidRPr="00FA5B4F" w:rsidRDefault="00365404" w:rsidP="00365404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NAČRT OCENJEVANJA ZNANJA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. LETNIK SPI - MIZAR</w:t>
      </w:r>
    </w:p>
    <w:p w14:paraId="0E42996A" w14:textId="3E160DF5" w:rsidR="00365404" w:rsidRPr="00085B96" w:rsidRDefault="00365404" w:rsidP="003A3F90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4"/>
        <w:gridCol w:w="2126"/>
      </w:tblGrid>
      <w:tr w:rsidR="00365404" w:rsidRPr="00085B96" w14:paraId="78392F42" w14:textId="77777777" w:rsidTr="009D7175">
        <w:trPr>
          <w:trHeight w:hRule="exact" w:val="899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C0423DE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74" w:type="dxa"/>
            <w:shd w:val="clear" w:color="auto" w:fill="E0E0E0"/>
            <w:vAlign w:val="center"/>
          </w:tcPr>
          <w:p w14:paraId="35E0C381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2126" w:type="dxa"/>
            <w:shd w:val="clear" w:color="auto" w:fill="E0E0E0"/>
            <w:vAlign w:val="center"/>
          </w:tcPr>
          <w:p w14:paraId="0AB90D20" w14:textId="77777777" w:rsidR="00365404" w:rsidRPr="00085B96" w:rsidRDefault="00365404" w:rsidP="009D717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365404" w:rsidRPr="00085B96" w14:paraId="425F509B" w14:textId="77777777" w:rsidTr="009D7175">
        <w:trPr>
          <w:trHeight w:val="72"/>
          <w:jc w:val="center"/>
        </w:trPr>
        <w:tc>
          <w:tcPr>
            <w:tcW w:w="1418" w:type="dxa"/>
            <w:vAlign w:val="center"/>
          </w:tcPr>
          <w:p w14:paraId="44D6DE61" w14:textId="0211E49F" w:rsidR="00365404" w:rsidRPr="00085B96" w:rsidRDefault="00365404" w:rsidP="009D717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Predmet</w:t>
            </w: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 nima vsebinskih sklopov</w:t>
            </w:r>
          </w:p>
        </w:tc>
        <w:tc>
          <w:tcPr>
            <w:tcW w:w="6374" w:type="dxa"/>
            <w:vAlign w:val="center"/>
          </w:tcPr>
          <w:p w14:paraId="4867EF1B" w14:textId="77777777" w:rsidR="005C1C28" w:rsidRPr="005A240E" w:rsidRDefault="005C1C28" w:rsidP="005C1C28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Izdelano je vsaj 80%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izdelave </w:t>
            </w: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seminarske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naloge</w:t>
            </w: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1DFC32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Dijak naloge in vprašanja razume le z dodatnimi pojasnili, zato mu jih je potrebno večkrat ponoviti.</w:t>
            </w:r>
          </w:p>
          <w:p w14:paraId="5360AC2E" w14:textId="4D34F6E7" w:rsidR="00365404" w:rsidRPr="005A240E" w:rsidRDefault="005C1C28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Opisi so pomanjkljivi, n</w:t>
            </w:r>
            <w:r w:rsidR="00365404" w:rsidRPr="005A240E">
              <w:rPr>
                <w:rFonts w:ascii="Times New Roman" w:hAnsi="Times New Roman" w:cs="Times New Roman"/>
                <w:sz w:val="24"/>
                <w:szCs w:val="24"/>
              </w:rPr>
              <w:t>e razume nekaterih pojmov.</w:t>
            </w:r>
          </w:p>
          <w:p w14:paraId="3EBA4C63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Pri odgovorih izpušča nekatere bistvene vsebine, njegovo znanje je skromno. </w:t>
            </w:r>
          </w:p>
          <w:p w14:paraId="0C6288DC" w14:textId="77777777" w:rsidR="00365404" w:rsidRPr="005A240E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dijak je pri delu delno samostojen,</w:t>
            </w:r>
          </w:p>
          <w:p w14:paraId="32193EE2" w14:textId="59D2D8C6" w:rsidR="00365404" w:rsidRPr="005C1C28" w:rsidRDefault="00365404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 xml:space="preserve">navodila za delo so upoštevana po večkratnih </w:t>
            </w:r>
            <w:r w:rsidRPr="005A240E">
              <w:rPr>
                <w:rFonts w:ascii="Times New Roman" w:hAnsi="Times New Roman" w:cs="Times New Roman"/>
              </w:rPr>
              <w:t>opozorilih</w:t>
            </w:r>
          </w:p>
          <w:p w14:paraId="08D318AC" w14:textId="256631D0" w:rsidR="005C1C28" w:rsidRPr="005A240E" w:rsidRDefault="005C1C28" w:rsidP="009D7175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49D">
              <w:rPr>
                <w:rFonts w:ascii="Times New Roman" w:hAnsi="Times New Roman" w:cs="Times New Roman"/>
                <w:sz w:val="24"/>
                <w:szCs w:val="24"/>
              </w:rPr>
              <w:t>orientacija v stroki je slaba</w:t>
            </w:r>
          </w:p>
          <w:p w14:paraId="0D8E2F8F" w14:textId="77777777" w:rsidR="00365404" w:rsidRPr="00BF02F2" w:rsidRDefault="00365404" w:rsidP="009D7175">
            <w:pPr>
              <w:pStyle w:val="Odstavekseznama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C3310E" w14:textId="0D29D391" w:rsidR="00365404" w:rsidRPr="005A240E" w:rsidRDefault="00365404" w:rsidP="009D7175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240E">
              <w:rPr>
                <w:rFonts w:ascii="Times New Roman" w:hAnsi="Times New Roman" w:cs="Times New Roman"/>
                <w:sz w:val="24"/>
                <w:szCs w:val="24"/>
              </w:rPr>
              <w:t>Seminarska naloga</w:t>
            </w:r>
            <w:r w:rsidR="005C1C28">
              <w:rPr>
                <w:rFonts w:ascii="Times New Roman" w:hAnsi="Times New Roman" w:cs="Times New Roman"/>
                <w:sz w:val="24"/>
                <w:szCs w:val="24"/>
              </w:rPr>
              <w:t xml:space="preserve"> z zagovorom</w:t>
            </w:r>
          </w:p>
          <w:p w14:paraId="353DB117" w14:textId="22BA207E" w:rsidR="00365404" w:rsidRPr="005C1C28" w:rsidRDefault="00365404" w:rsidP="005C1C28">
            <w:pPr>
              <w:tabs>
                <w:tab w:val="left" w:pos="684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F9261" w14:textId="77777777" w:rsidR="00365404" w:rsidRPr="0076044C" w:rsidRDefault="00365404" w:rsidP="009D7175">
            <w:pPr>
              <w:pStyle w:val="Odstavekseznama"/>
              <w:tabs>
                <w:tab w:val="left" w:pos="684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5DA41B14" w14:textId="77777777" w:rsidR="00365404" w:rsidRPr="00085B96" w:rsidRDefault="00365404" w:rsidP="00365404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FC71F" w14:textId="2085A616" w:rsidR="00365404" w:rsidRPr="00085B96" w:rsidRDefault="00365404" w:rsidP="003A3F90">
      <w:pPr>
        <w:pStyle w:val="Brezrazmikov"/>
        <w:numPr>
          <w:ilvl w:val="0"/>
          <w:numId w:val="2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letom:</w:t>
      </w:r>
    </w:p>
    <w:p w14:paraId="2176EFF1" w14:textId="3E0CD128" w:rsidR="00365404" w:rsidRPr="005A240E" w:rsidRDefault="005C1C28" w:rsidP="00365404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predmetu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 dijaki </w:t>
      </w:r>
      <w:r>
        <w:rPr>
          <w:rFonts w:ascii="Times New Roman" w:hAnsi="Times New Roman" w:cs="Times New Roman"/>
          <w:sz w:val="24"/>
          <w:szCs w:val="24"/>
        </w:rPr>
        <w:t>pridobijo  2 oceni iz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 seminarskih nalog </w:t>
      </w:r>
      <w:r>
        <w:rPr>
          <w:rFonts w:ascii="Times New Roman" w:hAnsi="Times New Roman" w:cs="Times New Roman"/>
          <w:sz w:val="24"/>
          <w:szCs w:val="24"/>
        </w:rPr>
        <w:t xml:space="preserve">z zagovorom - tema iz stroke   Dijak je pri predmetu </w:t>
      </w:r>
      <w:r w:rsidR="00365404" w:rsidRPr="005A240E">
        <w:rPr>
          <w:rFonts w:ascii="Times New Roman" w:hAnsi="Times New Roman" w:cs="Times New Roman"/>
          <w:sz w:val="24"/>
          <w:szCs w:val="24"/>
        </w:rPr>
        <w:t xml:space="preserve">pozitivno ocenjen, če ima vse ocene pozitivne. </w:t>
      </w:r>
    </w:p>
    <w:p w14:paraId="6ADFB7CE" w14:textId="77777777" w:rsidR="00365404" w:rsidRPr="005A240E" w:rsidRDefault="00365404" w:rsidP="00365404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85BB4A8" w14:textId="3E055004" w:rsidR="00365404" w:rsidRDefault="00365404" w:rsidP="003A3F90">
      <w:pPr>
        <w:pStyle w:val="Brezrazmikov"/>
        <w:numPr>
          <w:ilvl w:val="0"/>
          <w:numId w:val="2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40E">
        <w:rPr>
          <w:rFonts w:ascii="Times New Roman" w:hAnsi="Times New Roman" w:cs="Times New Roman"/>
          <w:b/>
          <w:sz w:val="24"/>
          <w:szCs w:val="24"/>
        </w:rPr>
        <w:t>Kriterij ocenjevanja</w:t>
      </w:r>
    </w:p>
    <w:p w14:paraId="2238FC9D" w14:textId="2E16B737" w:rsidR="00235C6C" w:rsidRPr="005C1C28" w:rsidRDefault="00235C6C" w:rsidP="005C1C28">
      <w:pPr>
        <w:pStyle w:val="Brezrazmikov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seminarske naloge  je sestavljena iz izdelave 80 % in zagovora 20 %.</w:t>
      </w:r>
    </w:p>
    <w:p w14:paraId="294D6AA3" w14:textId="73AE2BBF" w:rsidR="005C1C28" w:rsidRPr="00D7049D" w:rsidRDefault="00235C6C" w:rsidP="005C1C28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Ocenjevanje seminarske naloge </w:t>
      </w:r>
    </w:p>
    <w:p w14:paraId="1A00AD68" w14:textId="77777777" w:rsidR="005C1C28" w:rsidRPr="00D7049D" w:rsidRDefault="005C1C28" w:rsidP="005C1C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>zadostno</w:t>
      </w:r>
      <w:r w:rsidRPr="00D7049D">
        <w:rPr>
          <w:rFonts w:ascii="Times New Roman" w:hAnsi="Times New Roman" w:cs="Times New Roman"/>
          <w:sz w:val="24"/>
          <w:szCs w:val="24"/>
        </w:rPr>
        <w:t xml:space="preserve"> oceno dobi dijak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049D">
        <w:rPr>
          <w:rFonts w:ascii="Times New Roman" w:hAnsi="Times New Roman" w:cs="Times New Roman"/>
          <w:sz w:val="24"/>
          <w:szCs w:val="24"/>
        </w:rPr>
        <w:t xml:space="preserve"> ki ima delno urejene liste, manjkajo posamezni opisi, ostali pa so zapisani pomanjkljivo, le delno strokovno razumljivi. Manjkajo slike opisanega, orientacija v stroki je slaba.</w:t>
      </w:r>
    </w:p>
    <w:p w14:paraId="27093F7B" w14:textId="77777777" w:rsidR="005C1C28" w:rsidRPr="00D7049D" w:rsidRDefault="005C1C28" w:rsidP="005C1C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 xml:space="preserve">dobro </w:t>
      </w:r>
      <w:r w:rsidRPr="00D7049D">
        <w:rPr>
          <w:rFonts w:ascii="Times New Roman" w:hAnsi="Times New Roman" w:cs="Times New Roman"/>
          <w:sz w:val="24"/>
          <w:szCs w:val="24"/>
        </w:rPr>
        <w:t>oceno dobi dijak, ko je v opisih zajeto razumevanje snovi, ki pa ni dovolj strokovno in natančno. Slike n grafi so podani vendar jih je malo. Orientacija v stroki ni natančna</w:t>
      </w:r>
    </w:p>
    <w:p w14:paraId="28D51D37" w14:textId="77777777" w:rsidR="005C1C28" w:rsidRPr="00D7049D" w:rsidRDefault="005C1C28" w:rsidP="005C1C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>prav dobro</w:t>
      </w:r>
      <w:r w:rsidRPr="00D7049D">
        <w:rPr>
          <w:rFonts w:ascii="Times New Roman" w:hAnsi="Times New Roman" w:cs="Times New Roman"/>
          <w:sz w:val="24"/>
          <w:szCs w:val="24"/>
        </w:rPr>
        <w:t xml:space="preserve"> oceno dobi dijak, kjer so opisi sistematični, smiselni in precej podrobni. Slike so vstavljene na pravilnem mestu, količinsko zadosti vsebine, dijak razume bistvene pojme , orientacija v stroki je precej natančna.</w:t>
      </w:r>
    </w:p>
    <w:p w14:paraId="12CE7E0E" w14:textId="77777777" w:rsidR="005C1C28" w:rsidRPr="00D7049D" w:rsidRDefault="005C1C28" w:rsidP="005C1C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49D">
        <w:rPr>
          <w:rFonts w:ascii="Times New Roman" w:hAnsi="Times New Roman" w:cs="Times New Roman"/>
          <w:b/>
          <w:sz w:val="24"/>
          <w:szCs w:val="24"/>
        </w:rPr>
        <w:t xml:space="preserve">odlično </w:t>
      </w:r>
      <w:r w:rsidRPr="00D7049D">
        <w:rPr>
          <w:rFonts w:ascii="Times New Roman" w:hAnsi="Times New Roman" w:cs="Times New Roman"/>
          <w:sz w:val="24"/>
          <w:szCs w:val="24"/>
        </w:rPr>
        <w:t>oceno dobi dijak, kjer je vsebina estetsko in smiselno urejena, zelo lepo oblikovano, vsebuje vse zahtevane vsebine, urejena kazala, dodane zanimivosti, navedeni viri vsebine, napake so zelo redke, orientacija v stroki je natančna.</w:t>
      </w:r>
    </w:p>
    <w:p w14:paraId="112E5D03" w14:textId="6AC98B63" w:rsidR="00365404" w:rsidRPr="005A240E" w:rsidRDefault="005C1C28" w:rsidP="0036540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Ustno ocenjevanje</w:t>
      </w:r>
      <w:r w:rsidR="00573FDA">
        <w:rPr>
          <w:rFonts w:ascii="Times New Roman" w:hAnsi="Times New Roman" w:cs="Times New Roman"/>
          <w:sz w:val="24"/>
          <w:szCs w:val="24"/>
          <w:u w:val="single"/>
        </w:rPr>
        <w:t xml:space="preserve"> (zagovor)</w:t>
      </w:r>
    </w:p>
    <w:p w14:paraId="3AB2F69C" w14:textId="77777777" w:rsidR="00365404" w:rsidRPr="005A240E" w:rsidRDefault="00365404" w:rsidP="0036540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zadostno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seminarsko nalogo predstavi površno, v večini bere iz pripravljene predstavitve v Power Pointu. Ne zna povsem argumentirano razložiti vsebine, nesistematično oblikuje odgovore, potrebna so podvprašanja in pomoč učitelja, </w:t>
      </w:r>
    </w:p>
    <w:p w14:paraId="7EAB9330" w14:textId="77777777" w:rsidR="00365404" w:rsidRPr="005A240E" w:rsidRDefault="00365404" w:rsidP="0036540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lastRenderedPageBreak/>
        <w:t>dobro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 pomočjo  učitelja snov razume in zna navesti primere kako lahko znanje uporabi, zna delno ovrednotiti podatke, odgovori so delno sistematični in nepovezani, iz pripravljene predstavitve v Power Pointu prebere le delno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A240E">
        <w:rPr>
          <w:rFonts w:ascii="Times New Roman" w:hAnsi="Times New Roman" w:cs="Times New Roman"/>
          <w:sz w:val="24"/>
          <w:szCs w:val="24"/>
        </w:rPr>
        <w:t xml:space="preserve"> saj delno ve razložiti.</w:t>
      </w:r>
    </w:p>
    <w:p w14:paraId="173A9472" w14:textId="77777777" w:rsidR="00365404" w:rsidRPr="005A240E" w:rsidRDefault="00365404" w:rsidP="0036540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prav dobro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snov pravilno razume, se zna samostojno izražati, analizira medsebojne odnose med vsebinami, ni potrebnih podvprašanj, ne zna podatkov ovrednotiti in jih povezati v nove sestave, iz predstavitve v Power Pointu ve točno povedati kaj vidimo na sliki oziroma prikazuje kakšen graf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5DA491" w14:textId="77777777" w:rsidR="00365404" w:rsidRPr="005A240E" w:rsidRDefault="00365404" w:rsidP="0036540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40E">
        <w:rPr>
          <w:rFonts w:ascii="Times New Roman" w:hAnsi="Times New Roman" w:cs="Times New Roman"/>
          <w:b/>
          <w:bCs/>
          <w:sz w:val="24"/>
          <w:szCs w:val="24"/>
        </w:rPr>
        <w:t>odlično</w:t>
      </w:r>
      <w:r w:rsidRPr="005A240E">
        <w:rPr>
          <w:rFonts w:ascii="Times New Roman" w:hAnsi="Times New Roman" w:cs="Times New Roman"/>
          <w:sz w:val="24"/>
          <w:szCs w:val="24"/>
        </w:rPr>
        <w:t xml:space="preserve"> oceno dobi dijak, ki snov popolnoma razume, odgovarja samostojno, razmišlja logično in zna ovrednotiti podatke in jih povezati v nove sestave, </w:t>
      </w:r>
      <w:r>
        <w:rPr>
          <w:rFonts w:ascii="Times New Roman" w:hAnsi="Times New Roman" w:cs="Times New Roman"/>
          <w:sz w:val="24"/>
          <w:szCs w:val="24"/>
        </w:rPr>
        <w:t>predstavitev v Power Pointu mu je le v oporo za tekoče govorjenje.</w:t>
      </w:r>
    </w:p>
    <w:p w14:paraId="34CEC10D" w14:textId="4D73BCEE" w:rsidR="00365404" w:rsidRPr="0076044C" w:rsidRDefault="00365404" w:rsidP="005C1C2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AD0DC5F" w14:textId="77777777" w:rsidR="00365404" w:rsidRPr="00D7049D" w:rsidRDefault="00365404" w:rsidP="00365404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14:paraId="39A321BF" w14:textId="5FA367C9" w:rsidR="00365404" w:rsidRPr="00085B96" w:rsidRDefault="00D242D7" w:rsidP="003A3F90">
      <w:pPr>
        <w:pStyle w:val="Brezrazmikov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Datumi pisnih</w:t>
      </w:r>
      <w:r w:rsidR="00365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404" w:rsidRPr="00085B96">
        <w:rPr>
          <w:rFonts w:ascii="Times New Roman" w:hAnsi="Times New Roman" w:cs="Times New Roman"/>
          <w:b/>
          <w:bCs/>
          <w:sz w:val="24"/>
          <w:szCs w:val="24"/>
        </w:rPr>
        <w:t>ocenjevanj znanja:</w:t>
      </w:r>
    </w:p>
    <w:tbl>
      <w:tblPr>
        <w:tblStyle w:val="Tabelamrea"/>
        <w:tblW w:w="6516" w:type="dxa"/>
        <w:tblLook w:val="04A0" w:firstRow="1" w:lastRow="0" w:firstColumn="1" w:lastColumn="0" w:noHBand="0" w:noVBand="1"/>
      </w:tblPr>
      <w:tblGrid>
        <w:gridCol w:w="3380"/>
        <w:gridCol w:w="3136"/>
      </w:tblGrid>
      <w:tr w:rsidR="00235C6C" w:rsidRPr="00085B96" w14:paraId="4D26FC28" w14:textId="77777777" w:rsidTr="00235C6C">
        <w:tc>
          <w:tcPr>
            <w:tcW w:w="3380" w:type="dxa"/>
          </w:tcPr>
          <w:p w14:paraId="5772A91A" w14:textId="740D0802" w:rsidR="00235C6C" w:rsidRDefault="003A3F90" w:rsidP="00573FDA">
            <w:pPr>
              <w:pStyle w:val="Brezrazmikov"/>
              <w:numPr>
                <w:ilvl w:val="0"/>
                <w:numId w:val="28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35C6C">
              <w:rPr>
                <w:rFonts w:ascii="Times New Roman" w:hAnsi="Times New Roman" w:cs="Times New Roman"/>
                <w:sz w:val="24"/>
                <w:szCs w:val="24"/>
              </w:rPr>
              <w:t xml:space="preserve">PISNO </w:t>
            </w:r>
          </w:p>
          <w:p w14:paraId="6FF8E777" w14:textId="4245467A" w:rsidR="00235C6C" w:rsidRPr="00D7049D" w:rsidRDefault="00235C6C" w:rsidP="00573FDA">
            <w:pPr>
              <w:pStyle w:val="Brezrazmikov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Oddaja seminarske </w:t>
            </w:r>
            <w:r w:rsidRPr="00D7049D">
              <w:rPr>
                <w:rFonts w:ascii="Times New Roman" w:hAnsi="Times New Roman" w:cs="Times New Roman"/>
                <w:sz w:val="24"/>
                <w:szCs w:val="24"/>
              </w:rPr>
              <w:t>naloge</w:t>
            </w:r>
          </w:p>
        </w:tc>
        <w:tc>
          <w:tcPr>
            <w:tcW w:w="3136" w:type="dxa"/>
          </w:tcPr>
          <w:p w14:paraId="3AD4B019" w14:textId="71B2BAE0" w:rsidR="00235C6C" w:rsidRDefault="00235C6C" w:rsidP="00573FDA">
            <w:pPr>
              <w:pStyle w:val="Brezrazmikov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PISNO</w:t>
            </w:r>
          </w:p>
          <w:p w14:paraId="0C749044" w14:textId="77777777" w:rsidR="00235C6C" w:rsidRPr="0076044C" w:rsidRDefault="00235C6C" w:rsidP="00573FDA">
            <w:pPr>
              <w:pStyle w:val="Brezrazmikov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Oddaja seminarske naloge</w:t>
            </w:r>
          </w:p>
        </w:tc>
      </w:tr>
      <w:tr w:rsidR="00235C6C" w:rsidRPr="00740366" w14:paraId="4BFAA6DB" w14:textId="77777777" w:rsidTr="00235C6C">
        <w:tc>
          <w:tcPr>
            <w:tcW w:w="3380" w:type="dxa"/>
          </w:tcPr>
          <w:p w14:paraId="1BA00E37" w14:textId="77777777" w:rsidR="00235C6C" w:rsidRPr="005B3BC4" w:rsidRDefault="00235C6C" w:rsidP="009D7175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3136" w:type="dxa"/>
          </w:tcPr>
          <w:p w14:paraId="664E06B4" w14:textId="61F1AE30" w:rsidR="00235C6C" w:rsidRPr="005B3BC4" w:rsidRDefault="0039221C" w:rsidP="009D7175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12.3.2025</w:t>
            </w:r>
          </w:p>
        </w:tc>
      </w:tr>
    </w:tbl>
    <w:p w14:paraId="1DFD3157" w14:textId="77777777" w:rsidR="00365404" w:rsidRPr="00085B96" w:rsidRDefault="00365404" w:rsidP="003654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5AA8E1" w14:textId="74A2AC34" w:rsidR="00365404" w:rsidRPr="00085B96" w:rsidRDefault="00365404" w:rsidP="003A3F90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553C8456" w14:textId="42970312" w:rsidR="00235C6C" w:rsidRDefault="00235C6C" w:rsidP="00235C6C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Dijak, ki ima ob koncu šolskega leta zaključeno oceno nezadostno, opravlja popravni izpit. Popravni izpit je sestavljen </w:t>
      </w:r>
      <w:r w:rsidR="00573FDA">
        <w:rPr>
          <w:rFonts w:ascii="Times New Roman" w:hAnsi="Times New Roman" w:cs="Times New Roman"/>
          <w:sz w:val="24"/>
          <w:szCs w:val="24"/>
        </w:rPr>
        <w:t xml:space="preserve"> iz izdelave dela seminarske naloge   ( preizkus na računalniku</w:t>
      </w:r>
      <w:r w:rsidR="00D242D7">
        <w:rPr>
          <w:rFonts w:ascii="Times New Roman" w:hAnsi="Times New Roman" w:cs="Times New Roman"/>
          <w:sz w:val="24"/>
          <w:szCs w:val="24"/>
        </w:rPr>
        <w:t xml:space="preserve">) in </w:t>
      </w:r>
      <w:r w:rsidR="00573FDA">
        <w:rPr>
          <w:rFonts w:ascii="Times New Roman" w:hAnsi="Times New Roman" w:cs="Times New Roman"/>
          <w:sz w:val="24"/>
          <w:szCs w:val="24"/>
        </w:rPr>
        <w:t xml:space="preserve"> zagovor</w:t>
      </w:r>
      <w:r w:rsidR="00D242D7">
        <w:rPr>
          <w:rFonts w:ascii="Times New Roman" w:hAnsi="Times New Roman" w:cs="Times New Roman"/>
          <w:sz w:val="24"/>
          <w:szCs w:val="24"/>
        </w:rPr>
        <w:t>a</w:t>
      </w:r>
      <w:r w:rsidR="00573FDA">
        <w:rPr>
          <w:rFonts w:ascii="Times New Roman" w:hAnsi="Times New Roman" w:cs="Times New Roman"/>
          <w:sz w:val="24"/>
          <w:szCs w:val="24"/>
        </w:rPr>
        <w:t xml:space="preserve">. Kriterij je enak, kot med šolskim letom. </w:t>
      </w:r>
      <w:r>
        <w:rPr>
          <w:rFonts w:ascii="Times New Roman" w:hAnsi="Times New Roman" w:cs="Times New Roman"/>
          <w:sz w:val="24"/>
          <w:szCs w:val="24"/>
        </w:rPr>
        <w:t>Pri ocenjevanju veljajo enaki minimalni standardi kot m</w:t>
      </w:r>
      <w:r w:rsidR="00573FDA">
        <w:rPr>
          <w:rFonts w:ascii="Times New Roman" w:hAnsi="Times New Roman" w:cs="Times New Roman"/>
          <w:sz w:val="24"/>
          <w:szCs w:val="24"/>
        </w:rPr>
        <w:t xml:space="preserve">ed šolskim letom. </w:t>
      </w:r>
      <w:r>
        <w:rPr>
          <w:rFonts w:ascii="Times New Roman" w:hAnsi="Times New Roman" w:cs="Times New Roman"/>
          <w:sz w:val="24"/>
          <w:szCs w:val="24"/>
        </w:rPr>
        <w:t>Če dijak pri popravnem izpitu prepisuje ali uporablja nedovoljene pripomočke, se mu izpit odvzame in se ga oceni z nezadostno oceno. Učitelji izpitno gradivo oddajo v tajništvo vsaj 1 dan pred izpitom, kjer se hrani do izvedbe izpita. Pole in vprašanja  popravnih izpitov učitelj hrani do konca roka za  pritožbe.</w:t>
      </w:r>
    </w:p>
    <w:p w14:paraId="1A3C6AC5" w14:textId="77777777" w:rsidR="00573FDA" w:rsidRDefault="00573FDA" w:rsidP="00235C6C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6B93796C" w14:textId="4499EC61" w:rsidR="00365404" w:rsidRPr="00085B96" w:rsidRDefault="00365404" w:rsidP="003A3F90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85B96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13A6195A" w14:textId="77777777" w:rsidR="00365404" w:rsidRPr="00085B96" w:rsidRDefault="00365404" w:rsidP="0036540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66274193" w14:textId="77777777" w:rsidR="00365404" w:rsidRDefault="00365404" w:rsidP="0036540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0B0B80DE" w14:textId="77777777" w:rsidR="00365404" w:rsidRPr="00085B96" w:rsidRDefault="00365404" w:rsidP="00365404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5B7DAB" w14:textId="77777777" w:rsidR="00365404" w:rsidRPr="00085B96" w:rsidRDefault="00365404" w:rsidP="00365404">
      <w:pPr>
        <w:pStyle w:val="Brezrazmikov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Vodja ak</w:t>
      </w:r>
      <w:r>
        <w:rPr>
          <w:rFonts w:ascii="Times New Roman" w:hAnsi="Times New Roman" w:cs="Times New Roman"/>
          <w:sz w:val="24"/>
          <w:szCs w:val="24"/>
        </w:rPr>
        <w:t>tiva: Franc KORPIČ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016"/>
    <w:multiLevelType w:val="hybridMultilevel"/>
    <w:tmpl w:val="ED8CC5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017B6"/>
    <w:multiLevelType w:val="hybridMultilevel"/>
    <w:tmpl w:val="F6083A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3617E2"/>
    <w:multiLevelType w:val="hybridMultilevel"/>
    <w:tmpl w:val="0C6629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2B1F"/>
    <w:multiLevelType w:val="hybridMultilevel"/>
    <w:tmpl w:val="58F8BB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157F13"/>
    <w:multiLevelType w:val="hybridMultilevel"/>
    <w:tmpl w:val="B96254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EB3F4B"/>
    <w:multiLevelType w:val="hybridMultilevel"/>
    <w:tmpl w:val="A572A0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F3297"/>
    <w:multiLevelType w:val="hybridMultilevel"/>
    <w:tmpl w:val="0FC2D9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17AC4"/>
    <w:multiLevelType w:val="hybridMultilevel"/>
    <w:tmpl w:val="607CFA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A2A08"/>
    <w:multiLevelType w:val="hybridMultilevel"/>
    <w:tmpl w:val="2E2A70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7510E"/>
    <w:multiLevelType w:val="hybridMultilevel"/>
    <w:tmpl w:val="87F8AA20"/>
    <w:lvl w:ilvl="0" w:tplc="0DBEB320">
      <w:numFmt w:val="bullet"/>
      <w:lvlText w:val="•"/>
      <w:lvlJc w:val="left"/>
      <w:pPr>
        <w:ind w:left="744" w:hanging="384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142F4"/>
    <w:multiLevelType w:val="hybridMultilevel"/>
    <w:tmpl w:val="BF6C1B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5" w15:restartNumberingAfterBreak="0">
    <w:nsid w:val="6F210E7D"/>
    <w:multiLevelType w:val="hybridMultilevel"/>
    <w:tmpl w:val="3F9E112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21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7"/>
  </w:num>
  <w:num w:numId="14">
    <w:abstractNumId w:val="24"/>
  </w:num>
  <w:num w:numId="15">
    <w:abstractNumId w:val="13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5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  <w:num w:numId="24">
    <w:abstractNumId w:val="14"/>
  </w:num>
  <w:num w:numId="25">
    <w:abstractNumId w:val="22"/>
  </w:num>
  <w:num w:numId="26">
    <w:abstractNumId w:val="23"/>
  </w:num>
  <w:num w:numId="27">
    <w:abstractNumId w:val="12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BD"/>
    <w:rsid w:val="00085B96"/>
    <w:rsid w:val="000F72AB"/>
    <w:rsid w:val="000F7372"/>
    <w:rsid w:val="00151262"/>
    <w:rsid w:val="0015194C"/>
    <w:rsid w:val="00155C45"/>
    <w:rsid w:val="001609DD"/>
    <w:rsid w:val="00185CBD"/>
    <w:rsid w:val="00235C6C"/>
    <w:rsid w:val="00246D6F"/>
    <w:rsid w:val="0027773F"/>
    <w:rsid w:val="00295324"/>
    <w:rsid w:val="002F32CC"/>
    <w:rsid w:val="00343279"/>
    <w:rsid w:val="00365404"/>
    <w:rsid w:val="0039221C"/>
    <w:rsid w:val="003A3F90"/>
    <w:rsid w:val="003D73B5"/>
    <w:rsid w:val="00410D32"/>
    <w:rsid w:val="00450B6B"/>
    <w:rsid w:val="004F6734"/>
    <w:rsid w:val="00523C64"/>
    <w:rsid w:val="005253DA"/>
    <w:rsid w:val="00573FDA"/>
    <w:rsid w:val="005A240E"/>
    <w:rsid w:val="005B3BC4"/>
    <w:rsid w:val="005C1C28"/>
    <w:rsid w:val="006E2D2C"/>
    <w:rsid w:val="00722D1D"/>
    <w:rsid w:val="00740366"/>
    <w:rsid w:val="0076044C"/>
    <w:rsid w:val="0079632C"/>
    <w:rsid w:val="007D3757"/>
    <w:rsid w:val="007E5A85"/>
    <w:rsid w:val="00880CF5"/>
    <w:rsid w:val="00984FD0"/>
    <w:rsid w:val="0098767E"/>
    <w:rsid w:val="00B335FA"/>
    <w:rsid w:val="00BC08BA"/>
    <w:rsid w:val="00BF02F2"/>
    <w:rsid w:val="00D219B9"/>
    <w:rsid w:val="00D242D7"/>
    <w:rsid w:val="00D7049D"/>
    <w:rsid w:val="00D75304"/>
    <w:rsid w:val="00E7553E"/>
    <w:rsid w:val="00EB4D86"/>
    <w:rsid w:val="00F95566"/>
    <w:rsid w:val="00FA5B4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5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698FDDE-66B4-4204-B80E-F0A2B5FC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 sistema Windows</cp:lastModifiedBy>
  <cp:revision>6</cp:revision>
  <dcterms:created xsi:type="dcterms:W3CDTF">2024-10-25T17:35:00Z</dcterms:created>
  <dcterms:modified xsi:type="dcterms:W3CDTF">2024-10-27T15:55:00Z</dcterms:modified>
</cp:coreProperties>
</file>